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E" w:rsidRPr="0072361D" w:rsidRDefault="007D111E" w:rsidP="007D111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CC7EDC" wp14:editId="782B6B1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1E" w:rsidRPr="0072361D" w:rsidRDefault="007D111E" w:rsidP="007D111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11E" w:rsidRPr="0072361D" w:rsidRDefault="007D111E" w:rsidP="007D111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D111E" w:rsidRPr="0072361D" w:rsidRDefault="007D111E" w:rsidP="007D111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61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D111E" w:rsidRPr="0072361D" w:rsidRDefault="007D111E" w:rsidP="007D111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11E" w:rsidRPr="0072361D" w:rsidRDefault="007D111E" w:rsidP="007D111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11E" w:rsidRPr="0072361D" w:rsidRDefault="007D111E" w:rsidP="007D111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7D111E" w:rsidRPr="0072361D" w:rsidTr="00987E45">
        <w:tc>
          <w:tcPr>
            <w:tcW w:w="6379" w:type="dxa"/>
          </w:tcPr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D111E" w:rsidRPr="0072361D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11E" w:rsidRPr="007D111E" w:rsidRDefault="007D111E" w:rsidP="007D111E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111E" w:rsidRPr="007D111E" w:rsidRDefault="007D111E" w:rsidP="007D111E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111E" w:rsidRPr="007D111E" w:rsidRDefault="007D111E" w:rsidP="007D111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11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D111E" w:rsidRPr="007D111E" w:rsidRDefault="007D111E" w:rsidP="007D111E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1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D111E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7D111E">
        <w:rPr>
          <w:rFonts w:ascii="Times New Roman" w:hAnsi="Times New Roman" w:cs="Times New Roman"/>
          <w:b/>
          <w:sz w:val="24"/>
          <w:szCs w:val="24"/>
        </w:rPr>
        <w:t>08</w:t>
      </w:r>
      <w:r w:rsidRPr="007D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E">
        <w:rPr>
          <w:rFonts w:ascii="Times New Roman" w:hAnsi="Times New Roman" w:cs="Times New Roman"/>
          <w:b/>
          <w:sz w:val="24"/>
          <w:szCs w:val="24"/>
        </w:rPr>
        <w:t>Введение в информационные технологии</w:t>
      </w:r>
    </w:p>
    <w:p w:rsidR="007D111E" w:rsidRPr="007D111E" w:rsidRDefault="007D111E" w:rsidP="007D111E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7D111E" w:rsidRPr="007D111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D111E" w:rsidRPr="007D111E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D111E" w:rsidRPr="007D111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D111E" w:rsidRPr="007D111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D111E" w:rsidRPr="007D111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E" w:rsidRPr="000D3C8E" w:rsidRDefault="007D111E" w:rsidP="007D111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7D111E" w:rsidRPr="007D111E" w:rsidRDefault="007D111E" w:rsidP="007D111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111E" w:rsidRPr="007D111E" w:rsidRDefault="007D111E" w:rsidP="007D111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111E" w:rsidRPr="007D111E" w:rsidRDefault="007D111E" w:rsidP="007D111E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1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D111E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7D111E">
        <w:rPr>
          <w:rFonts w:ascii="Times New Roman" w:hAnsi="Times New Roman" w:cs="Times New Roman"/>
          <w:b/>
          <w:sz w:val="24"/>
          <w:szCs w:val="24"/>
        </w:rPr>
        <w:t>08 Введение в информационные технологии</w:t>
      </w:r>
    </w:p>
    <w:p w:rsidR="007D111E" w:rsidRPr="007D111E" w:rsidRDefault="007D111E" w:rsidP="007D111E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111E" w:rsidRPr="007D111E" w:rsidRDefault="007D111E" w:rsidP="007D111E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7D111E" w:rsidRPr="007D111E" w:rsidTr="007D111E">
        <w:tc>
          <w:tcPr>
            <w:tcW w:w="3261" w:type="dxa"/>
          </w:tcPr>
          <w:p w:rsidR="007D111E" w:rsidRPr="007D111E" w:rsidRDefault="007D111E" w:rsidP="007D111E">
            <w:pPr>
              <w:tabs>
                <w:tab w:val="left" w:pos="37"/>
              </w:tabs>
              <w:spacing w:after="0" w:line="264" w:lineRule="auto"/>
              <w:ind w:left="10" w:hanging="10"/>
              <w:jc w:val="center"/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</w:pPr>
            <w:r w:rsidRPr="007D111E"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1" w:type="dxa"/>
          </w:tcPr>
          <w:p w:rsidR="007D111E" w:rsidRPr="007D111E" w:rsidRDefault="007D111E" w:rsidP="007D111E">
            <w:pPr>
              <w:spacing w:after="0"/>
              <w:ind w:left="10" w:hanging="10"/>
              <w:jc w:val="center"/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</w:pPr>
            <w:r w:rsidRPr="007D111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информационные технологии</w:t>
            </w:r>
          </w:p>
        </w:tc>
      </w:tr>
      <w:tr w:rsidR="007D111E" w:rsidRPr="007D111E" w:rsidTr="007D111E">
        <w:tc>
          <w:tcPr>
            <w:tcW w:w="3261" w:type="dxa"/>
          </w:tcPr>
          <w:p w:rsidR="007D111E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Краткое содержание</w:t>
            </w:r>
          </w:p>
        </w:tc>
        <w:tc>
          <w:tcPr>
            <w:tcW w:w="6521" w:type="dxa"/>
          </w:tcPr>
          <w:p w:rsidR="007D111E" w:rsidRPr="007D111E" w:rsidRDefault="007D111E" w:rsidP="007D111E">
            <w:pPr>
              <w:tabs>
                <w:tab w:val="left" w:pos="181"/>
              </w:tabs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цифровые технологии. Политика государства в области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Государственные программы. Современное цифровое пространство. Основы цифрового общества. Цифровая грамотность и цифровые компетенции. Обзор современных цифровых технологий и возможностей их применения для решения поставленных задач. Государственные цифровые услуги и порталы. Технологии удаленной работы.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Файлообменники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Вебинарные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Дистанционные технологии и возможности дистанционного обучения. Работа в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режиме. Цифровая </w:t>
            </w:r>
            <w:r w:rsidRPr="007D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среда университета. Знакомство с порталом </w:t>
            </w:r>
            <w:proofErr w:type="gram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el.ncfu.ru</w:t>
            </w:r>
            <w:proofErr w:type="gram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Екампусом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библиотечные системы. Систематизация и хранение информации на ПК. Обзор и классификация ОС. Основы работы в ОС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национальной операционной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Этапы подготовки компьютера к работе. Интерфейс пользователя. Панель задач. Работа с окнами. Менеджер файлов/Проводник. Поиск.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Поименование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файлов, систематизация и каталогизация. Типы файлов. Конвертация. Особенности восстановления информации на USB-носителях. Электронные почтовые сервисы. Обзор возможностей современных почтовых сервисов. Роль электронной почты в информационном обмене. Регистрация, настройка, организация работы с почтовыми сообщениями. Систематизация сообщений. Безопасность и использование временных почтовых ящиков и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анонимайзеров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Сетевой этикет. Правила деловой переписки и общения в социальных сетях, электронных почтовых сервисах и мессенджерах. Особенности деловой переписки в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и др. Интернет-технологии. Основы поиска, критический анализ и синтез информации в глобальной сети Интернет. Работа с браузерами (избранное, закладки, журнал и др.). Хранение больших объемов данных. Сетевые сервисы и их возможности. Организация и безопасность работы в облачных хранилищах (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MailОблако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ЯндексДиск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и др.). Организация совместной работы с информацией. Работа в облачных приложениях Аппаратное обеспечение персонального компьютера. Базовая аппаратная конфигурация. Материнская плата. Устройства, входящие в состав материнской платы. Процессор, назначение и основные характеристики (тактовая частота, разрядность, шина процессора, кэш-память, производительность). Память, назначение и виды памяти (оперативная, постоянная, внешняя), основные характеристики. Устройства ввода-вывода. Порты ввода-вывода. Классификация периферийных устройств (носители данных, клавиатура, мышь, мониторы, принтеры, сканеры). Клавиатура персонального компьютера. Разновидности клавиатур. Назначение клавиш. Горячие и функциональные клавиши. Клавиатурные тренажёры. Программное обеспечение персонального компьютера. Состав программного обеспечения (ПО) персонального компьютера. Уровни ПО (базовый, системный, служебный, прикладной). Классификация</w:t>
            </w:r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ПО (по назначению). Классификация прикладных программных средств. Классификация служебных программных средств. Обзор сравнительный анализ ПО ОС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. Обработка текстовой информации. Технологии работы с текстовой информацией в офисных и сетевых приложениях (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). Правила </w:t>
            </w:r>
            <w:r w:rsidRPr="007D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текстовых документов по ГОСТ. Профессиональное редактирование и форматирование документа Создание таблиц и графических объектов. Вычисления в таблицах. Построение диаграмм. Создание графических схем. Создание документа сложной структуры. Работа со стилями. Автоматическое создание оглавления. Электронное рецензирование документов. Работа в режиме исправлений. Создание шаблонов и форм. Автоматическая расстановка сносок на источники. Почтовые рассылки. Создание документов слияния. Организация работы с табличными данными средствами электронных таблиц. Технологии работы с табличными данными в офисных и сетевых приложениях (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). Типы данных. Настройка окна для работы. Автоматизация при вводе данных: функции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автозаполнения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автозавершения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Ряды данных. Создание прогрессий. Работа со списками данных и создание собственных списков перечислений. Условное форматирование. Работа с формулами и функциями. Использование абсолютных и относительных ссылок при обработке данных. Команды для работы с файлами и подготовки документа к печати. Команды для работы с электронной таблицей как с базой данных. Анализ данных больших таблиц. Сортировка данных. Ввод условий для сортировки данных. Фильтрация данных. Ввод критериев (условий) отбора данных. Команды для создания и работы с диаграммами. Элементы интерфейса для работы с диаграммами. Способы создания диаграмм. Создание смешанных диаграмм.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Спарклайны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промежуточных итогов и создание структурированных таблиц. Консолидация данных. Подготовка таблиц для консолидации данных. Этапы консолидации. Работа со сводными таблицами и диаграммами. Мастер сводных таблиц. Работа в сводной таблице. Фильтрация данных сводной таблицы. Создание сводной диаграммы. Использование пакета Анализ данных. Импорт данных. Защита данных. Подготовка демонстрационных материалов.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и визуализация данных, культура презентации. Обзор программных продуктов для создания презентаций. Технологии работы с визуальной информацией в офисных и сетевых приложениях (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GoogleDoc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). Шаблоны и структура презентаций. Создание элементов презентации. Создание сетевых презентаций в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-сервисе Prezi.com. Использование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майндмэппинга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(метальных карт) для создания презентаций. Совместное создание презентаций. Цифровые технологии для обработки графических изображений. Графические средства представления данных. Оцифровка и анализ изображений. Компьютерное (техническое) зрение. Технологии обработки мультимедийных данных. Векторная и растровая графика. </w:t>
            </w:r>
            <w:r w:rsidRPr="007D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для обработки графических изображений (GIMP,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EasyPaint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InDesign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). Построение диаграмм и блок-схем (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Visio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). Работа с офисными и сетевыми приложениями. Организация совместного доступа. Информационная безопасность и её составляющие. Основные виды угроз безопасности для пользователей (вирусы, спам,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сбои и пр.). Компьютерные преступления. Классификация. Методы профилактики. Законодательные и иные правовые акты Российской Федерации, регулирующие правовые отношения в сфере информационной безопасности и защиты государственной тайны. Цифровые инструменты. Основы </w:t>
            </w:r>
            <w:proofErr w:type="spellStart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7D111E">
              <w:rPr>
                <w:rFonts w:ascii="Times New Roman" w:hAnsi="Times New Roman" w:cs="Times New Roman"/>
                <w:sz w:val="24"/>
                <w:szCs w:val="24"/>
              </w:rPr>
              <w:t>. Ментальные карты и т.д. Информационные технологии в профессиональной деятельности. Специализированное программное обеспечение (по областям знаний), Справочно-правовые системы (СПС), Специализированные базы данных. Базы данных. Введение в базы данных. Работа с основными объектами базами данных. Создание таблиц, запросов, форм и отчетов</w:t>
            </w:r>
          </w:p>
        </w:tc>
      </w:tr>
    </w:tbl>
    <w:tbl>
      <w:tblPr>
        <w:tblStyle w:val="TableGrid"/>
        <w:tblW w:w="9782" w:type="dxa"/>
        <w:tblInd w:w="-289" w:type="dxa"/>
        <w:tblCellMar>
          <w:top w:w="45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261"/>
        <w:gridCol w:w="6521"/>
      </w:tblGrid>
      <w:tr w:rsidR="00E33411" w:rsidRPr="007D111E" w:rsidTr="007D111E">
        <w:trPr>
          <w:trHeight w:val="9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11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освоения дисциплины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11" w:rsidRPr="007D111E" w:rsidRDefault="007D111E" w:rsidP="007D111E">
            <w:pPr>
              <w:spacing w:after="47" w:line="221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основы поиска и критического анализа информации; использует методы системного подхода для решения поставленных задач с помощью цифровых и информационных технологий; </w:t>
            </w:r>
          </w:p>
          <w:p w:rsidR="00E33411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личное цифровое пространство; </w:t>
            </w:r>
          </w:p>
          <w:p w:rsidR="00E33411" w:rsidRPr="007D111E" w:rsidRDefault="007D111E" w:rsidP="007D111E">
            <w:pPr>
              <w:spacing w:after="0" w:line="242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технологиями поиска информации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обработки данных, методами системного подхода для решения поставленных задач с помощью цифровых и информационных технологий </w:t>
            </w:r>
          </w:p>
          <w:p w:rsidR="00E33411" w:rsidRPr="007D111E" w:rsidRDefault="007D111E" w:rsidP="007D111E">
            <w:pPr>
              <w:spacing w:after="0" w:line="242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представление о законодательных и иные правовых актах Российской Федерации, регулирующих правовые отношения в сфере информ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ационной безопасности и защиты государственной тайны; </w:t>
            </w:r>
          </w:p>
          <w:p w:rsidR="00E33411" w:rsidRPr="007D111E" w:rsidRDefault="007D111E" w:rsidP="007D111E">
            <w:pPr>
              <w:spacing w:after="0" w:line="242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цифровые технологии для решения поставленных задач, выбирая оптимальный способ их решения, исходя из действующих правовых норм и имеющихся ресурсов и ограничений; </w:t>
            </w:r>
          </w:p>
          <w:p w:rsidR="00E33411" w:rsidRPr="007D111E" w:rsidRDefault="007D111E" w:rsidP="007D111E">
            <w:pPr>
              <w:spacing w:after="0" w:line="261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технологией организ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безопасного личного цифрового пространства; </w:t>
            </w:r>
          </w:p>
          <w:p w:rsidR="00E33411" w:rsidRPr="007D111E" w:rsidRDefault="007D111E" w:rsidP="007D111E">
            <w:pPr>
              <w:spacing w:after="0" w:line="234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принципы работы современных информационных технологий, программного обеспечения ПК и знает его возможности; Применяет информационные технологии для решения задач профессиональной деятельности; рабо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тает с текстовыми и числовыми данными, проводить простейшую аналитику текстовых и числовых данных с помощью специального программного обеспечения; обрабатывает графические изображения; </w:t>
            </w:r>
          </w:p>
          <w:p w:rsidR="00E33411" w:rsidRPr="007D111E" w:rsidRDefault="007D111E" w:rsidP="007D111E">
            <w:pPr>
              <w:spacing w:after="0" w:line="242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ресурсы Интернет и его сервисы, включая облачные хранилища и другие инструменты организации проектной, в том числе совместной, работы; </w:t>
            </w:r>
          </w:p>
          <w:p w:rsidR="00E33411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Владеет навыками применения информационных технологий для решения профессиональных задач, основами информацио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безопасности и способами ее защиты. </w:t>
            </w:r>
          </w:p>
        </w:tc>
      </w:tr>
      <w:tr w:rsidR="00E33411" w:rsidRPr="007D111E" w:rsidTr="007D111E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11" w:rsidRPr="007D111E" w:rsidRDefault="007D111E" w:rsidP="007D111E">
            <w:pPr>
              <w:spacing w:after="16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Трудоемкость,</w:t>
            </w:r>
          </w:p>
          <w:p w:rsidR="00E33411" w:rsidRPr="007D111E" w:rsidRDefault="007D111E" w:rsidP="007D111E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11" w:rsidRPr="007D111E" w:rsidRDefault="007D111E" w:rsidP="007D111E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3411" w:rsidRPr="007D111E" w:rsidTr="007D111E">
        <w:trPr>
          <w:trHeight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11" w:rsidRPr="007D111E" w:rsidRDefault="007D111E" w:rsidP="007D111E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11" w:rsidRPr="007D111E" w:rsidRDefault="007D111E" w:rsidP="007D111E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Зачет, Зачет с оценкой</w:t>
            </w:r>
          </w:p>
        </w:tc>
      </w:tr>
      <w:tr w:rsidR="00E33411" w:rsidRPr="007D111E" w:rsidTr="007D111E">
        <w:trPr>
          <w:trHeight w:val="562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411" w:rsidRPr="007D111E" w:rsidRDefault="007D111E" w:rsidP="007D111E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D111E" w:rsidRPr="007D111E" w:rsidTr="007D111E">
        <w:trPr>
          <w:trHeight w:val="9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E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E" w:rsidRPr="007D111E" w:rsidRDefault="007D111E" w:rsidP="007D111E">
            <w:pPr>
              <w:spacing w:after="0" w:line="279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11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Башмакова,,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Информатика и информационные технологии. Технология работы в MS WORD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2016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И. Башмакова. - Информатика и информационные технологии. Технология работы в MS WORD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2016,Весь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- 90 с. - электронный. - Книга находится в премиум-версии ЭБС IPR BOOKS. - ISBN 978-5-4497-0515-0, экземпляров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11E" w:rsidRPr="007D111E" w:rsidRDefault="007D111E" w:rsidP="007D111E">
            <w:pPr>
              <w:numPr>
                <w:ilvl w:val="0"/>
                <w:numId w:val="1"/>
              </w:numPr>
              <w:spacing w:after="12" w:line="27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Башмакова,,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Информатика и информационные технологии. Умный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2016: библиотека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И. Башмакова. - Информатика и информационные технологии. Умный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2016: библиотека </w:t>
            </w:r>
            <w:proofErr w:type="spellStart"/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функций,Весь</w:t>
            </w:r>
            <w:proofErr w:type="spellEnd"/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</w:t>
            </w:r>
            <w:bookmarkStart w:id="0" w:name="_GoBack"/>
            <w:bookmarkEnd w:id="0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Ар Медиа, 2020. - 109 с. - электронный. - Книга находится в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978-5-4497-0516-7, экземпляров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11E" w:rsidRPr="007D111E" w:rsidRDefault="007D111E" w:rsidP="002F6025">
            <w:pPr>
              <w:numPr>
                <w:ilvl w:val="0"/>
                <w:numId w:val="1"/>
              </w:numPr>
              <w:spacing w:after="25" w:line="267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 Информатика и информационные технологии : лабораторный практикум / А. Г.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, А. В. Попов, А. И. Дьяконов. - Информатика и информационные технологии,2026-09-20. - Электрон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Самарский государственный технический университет, ЭБС АСВ, 2020. - 64 с. - электронный. - Книга находится в премиум-версии ЭБС IPR BOOKS. - ISBN 2227-8397, экземпляров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11E" w:rsidRPr="007D111E" w:rsidRDefault="007D111E" w:rsidP="007D111E">
            <w:pPr>
              <w:numPr>
                <w:ilvl w:val="0"/>
                <w:numId w:val="1"/>
              </w:num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Цветкова, А. В. Информатика и информационные технологии Электронный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СПО / А. В. Цветкова. - Информатика и информационные технологии,2020-08-30. 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книга, 2019. - 190 с. - Книга находится в премиум-версии ЭБС IPR BOOKS. - ISBN 978-5-9758-1891-1, экземпляров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411" w:rsidRPr="007D111E" w:rsidTr="007D111E">
        <w:trPr>
          <w:trHeight w:val="69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11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11" w:rsidRPr="007D111E" w:rsidRDefault="007D111E" w:rsidP="007D111E">
            <w:pPr>
              <w:numPr>
                <w:ilvl w:val="0"/>
                <w:numId w:val="2"/>
              </w:numPr>
              <w:spacing w:after="14" w:line="269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информационные технологии Электронный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трудов по материалам 3-й межвузовской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с международным участием 29 сентября 2017 г. / В. И.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Воловач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ред. В. М.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консультант, МГОТУ, 2017. - 191 с. - Книга находится в премиум-версии ЭБС IPR BOOKS. - ISBN 978-5-9500999-7-7, экземпля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неограниченно  </w:t>
            </w:r>
          </w:p>
          <w:p w:rsidR="00E33411" w:rsidRPr="007D111E" w:rsidRDefault="007D111E" w:rsidP="007D111E">
            <w:pPr>
              <w:numPr>
                <w:ilvl w:val="0"/>
                <w:numId w:val="2"/>
              </w:numPr>
              <w:spacing w:after="0" w:line="265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мультимедийные информационные технологии Электронный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С.С.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Репечко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А.П. Алексеев / А.Р. Ванютин / И.А.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Современные мультимедийные информационные технологии,2019-05-25. 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СОЛОН-ПРЕСС, 2017. - 108 c. - Книга находится в базовой версии </w:t>
            </w:r>
          </w:p>
          <w:p w:rsidR="00E33411" w:rsidRPr="007D111E" w:rsidRDefault="007D111E" w:rsidP="007D111E">
            <w:pPr>
              <w:spacing w:after="0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978-5-91359-219-4, экземпляров неограниченно 3.</w:t>
            </w:r>
            <w:r w:rsidRPr="007D11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информационные технологии Электронный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С.С.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Мытько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Д.А.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Репечко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И.А.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оролькова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А.Р. Ванютин / А.П. Алексеев ; ред. А.П. Алексеев. - </w:t>
            </w:r>
          </w:p>
          <w:p w:rsidR="00E33411" w:rsidRPr="007D111E" w:rsidRDefault="007D111E" w:rsidP="007D111E">
            <w:pPr>
              <w:spacing w:after="5" w:line="27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2019. - 101 c. - Книга находится в базовой версии ЭБС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неограниченно  </w:t>
            </w:r>
          </w:p>
          <w:p w:rsidR="00E33411" w:rsidRPr="007D111E" w:rsidRDefault="007D111E" w:rsidP="007D111E">
            <w:pPr>
              <w:spacing w:after="0" w:line="265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11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Адлер, Ю.П. Статистическое управление процессами. «Большие данные» Электронный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Е.А. Черных / Ю.П. Адлер. - Статистическое управление процессами. «Большие данные»,2019-09-01. - </w:t>
            </w:r>
            <w:proofErr w:type="gram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- 52 c. - Книг</w:t>
            </w: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находится в базовой версии ЭБС </w:t>
            </w:r>
            <w:proofErr w:type="spellStart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</w:p>
          <w:p w:rsidR="00E33411" w:rsidRPr="007D111E" w:rsidRDefault="007D111E" w:rsidP="007D111E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978-5-87623-969-3, экземпляров неограниченно </w:t>
            </w:r>
          </w:p>
        </w:tc>
      </w:tr>
    </w:tbl>
    <w:p w:rsidR="00E33411" w:rsidRPr="007D111E" w:rsidRDefault="007D111E" w:rsidP="007D111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D11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33411" w:rsidRPr="007D111E" w:rsidRDefault="007D111E" w:rsidP="007D111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D1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33411" w:rsidRPr="007D111E" w:rsidSect="007D111E">
      <w:pgSz w:w="11906" w:h="16838"/>
      <w:pgMar w:top="851" w:right="1440" w:bottom="12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A4D"/>
    <w:multiLevelType w:val="hybridMultilevel"/>
    <w:tmpl w:val="6470BBAE"/>
    <w:lvl w:ilvl="0" w:tplc="77600C1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8067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872B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E0A1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A476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86DE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A09A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2A9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24D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562A8"/>
    <w:multiLevelType w:val="hybridMultilevel"/>
    <w:tmpl w:val="096E4454"/>
    <w:lvl w:ilvl="0" w:tplc="D318F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2AB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E997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EF0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A6A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44E4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EF7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C449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8110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11"/>
    <w:rsid w:val="007D111E"/>
    <w:rsid w:val="00E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F5D9"/>
  <w15:docId w15:val="{DC80AC77-854D-4030-8884-3FE5178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D111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D111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cp:lastModifiedBy>SGLA</cp:lastModifiedBy>
  <cp:revision>2</cp:revision>
  <dcterms:created xsi:type="dcterms:W3CDTF">2023-09-14T14:10:00Z</dcterms:created>
  <dcterms:modified xsi:type="dcterms:W3CDTF">2023-09-14T14:10:00Z</dcterms:modified>
</cp:coreProperties>
</file>