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D3" w:rsidRPr="00BE3CB9" w:rsidRDefault="005C1BD3" w:rsidP="005C1BD3">
      <w:pPr>
        <w:spacing w:line="240" w:lineRule="auto"/>
        <w:ind w:hanging="2105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4A13AE7A" wp14:editId="70194F2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D3" w:rsidRPr="00BE3CB9" w:rsidRDefault="005C1BD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C1BD3" w:rsidRPr="00BE3CB9" w:rsidRDefault="005C1BD3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5C1BD3" w:rsidRPr="00BE3CB9" w:rsidRDefault="005C1BD3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5C1BD3" w:rsidRPr="00BE3CB9" w:rsidRDefault="005C1BD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C1BD3" w:rsidRPr="00BE3CB9" w:rsidRDefault="005C1BD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C1BD3" w:rsidRPr="00BE3CB9" w:rsidRDefault="005C1BD3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5C1BD3" w:rsidRPr="00BE3CB9" w:rsidRDefault="005C1BD3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C1BD3" w:rsidRPr="00BE3CB9" w:rsidTr="00CE0FEA">
        <w:tc>
          <w:tcPr>
            <w:tcW w:w="5670" w:type="dxa"/>
          </w:tcPr>
          <w:p w:rsidR="005C1BD3" w:rsidRPr="00BE3CB9" w:rsidRDefault="005C1BD3" w:rsidP="005C1BD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5C1BD3" w:rsidRPr="00BE3CB9" w:rsidRDefault="005C1BD3" w:rsidP="005C1BD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5C1BD3" w:rsidRPr="00BE3CB9" w:rsidRDefault="005C1BD3" w:rsidP="005C1BD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5C1BD3" w:rsidRPr="00BE3CB9" w:rsidRDefault="005C1BD3" w:rsidP="005C1BD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5C1BD3" w:rsidRPr="00BE3CB9" w:rsidRDefault="005C1BD3" w:rsidP="005C1BD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5C1BD3" w:rsidRPr="00BE3CB9" w:rsidRDefault="005C1BD3" w:rsidP="005C1BD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5C1BD3" w:rsidRPr="00BE3CB9" w:rsidRDefault="005C1BD3" w:rsidP="005C1BD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5C1BD3" w:rsidRPr="00BE3CB9" w:rsidRDefault="005C1BD3" w:rsidP="005C1BD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C1BD3" w:rsidRPr="00BE3CB9" w:rsidRDefault="005C1BD3" w:rsidP="005C1BD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5C1BD3" w:rsidRPr="00BE3CB9" w:rsidRDefault="005C1BD3" w:rsidP="005C1BD3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5C1BD3" w:rsidRPr="00BE3CB9" w:rsidRDefault="005C1BD3" w:rsidP="005C1BD3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5C1BD3" w:rsidRPr="0036289E" w:rsidRDefault="005C1BD3" w:rsidP="00CE0FEA">
      <w:pPr>
        <w:jc w:val="both"/>
        <w:rPr>
          <w:sz w:val="24"/>
          <w:szCs w:val="24"/>
        </w:rPr>
      </w:pPr>
    </w:p>
    <w:p w:rsidR="005C1BD3" w:rsidRPr="005C1BD3" w:rsidRDefault="005C1BD3" w:rsidP="005C1BD3">
      <w:pPr>
        <w:rPr>
          <w:szCs w:val="28"/>
        </w:rPr>
      </w:pPr>
      <w:r w:rsidRPr="005C1BD3">
        <w:rPr>
          <w:szCs w:val="28"/>
        </w:rPr>
        <w:t>Аннотация</w:t>
      </w:r>
      <w:r w:rsidRPr="005C1BD3">
        <w:rPr>
          <w:szCs w:val="28"/>
        </w:rPr>
        <w:t xml:space="preserve"> к рабочей программе дисциплины</w:t>
      </w:r>
    </w:p>
    <w:p w:rsidR="005C1BD3" w:rsidRPr="005C1BD3" w:rsidRDefault="005C1BD3" w:rsidP="005C1BD3">
      <w:pPr>
        <w:rPr>
          <w:szCs w:val="28"/>
        </w:rPr>
      </w:pPr>
      <w:r w:rsidRPr="005C1BD3">
        <w:rPr>
          <w:szCs w:val="28"/>
        </w:rPr>
        <w:t>Бизнес-технологии и цифровые компетенции</w:t>
      </w:r>
    </w:p>
    <w:p w:rsidR="005C1BD3" w:rsidRDefault="005C1BD3" w:rsidP="00CE0FEA"/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5C1BD3" w:rsidRPr="00BE3CB9" w:rsidTr="005C1BD3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3" w:rsidRPr="00BE3CB9" w:rsidRDefault="005C1BD3" w:rsidP="005C1BD3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5C1BD3" w:rsidRPr="00BE3CB9" w:rsidTr="005C1BD3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C1BD3" w:rsidRPr="00BE3CB9" w:rsidTr="005C1BD3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C1BD3" w:rsidRPr="00BE3CB9" w:rsidTr="005C1BD3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5C1BD3" w:rsidRPr="00BE3CB9" w:rsidTr="005C1BD3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3" w:rsidRPr="00BE3CB9" w:rsidRDefault="005C1BD3" w:rsidP="005C1BD3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курс 2</w:t>
            </w:r>
            <w:bookmarkStart w:id="0" w:name="_GoBack"/>
            <w:bookmarkEnd w:id="0"/>
          </w:p>
        </w:tc>
      </w:tr>
    </w:tbl>
    <w:p w:rsidR="005C1BD3" w:rsidRDefault="005C1BD3" w:rsidP="00CE0FEA">
      <w:pPr>
        <w:jc w:val="both"/>
      </w:pPr>
    </w:p>
    <w:p w:rsidR="005C1BD3" w:rsidRDefault="005C1BD3" w:rsidP="005C1BD3">
      <w:pPr>
        <w:rPr>
          <w:szCs w:val="28"/>
        </w:rPr>
      </w:pPr>
      <w:r w:rsidRPr="005C1BD3">
        <w:rPr>
          <w:szCs w:val="28"/>
        </w:rPr>
        <w:t>Бизнес-технологии и цифровые компетенции</w:t>
      </w:r>
    </w:p>
    <w:p w:rsidR="005C1BD3" w:rsidRPr="005C1BD3" w:rsidRDefault="005C1BD3" w:rsidP="005C1BD3">
      <w:pPr>
        <w:rPr>
          <w:szCs w:val="28"/>
        </w:rPr>
      </w:pPr>
    </w:p>
    <w:tbl>
      <w:tblPr>
        <w:tblStyle w:val="TableGrid"/>
        <w:tblW w:w="10497" w:type="dxa"/>
        <w:tblInd w:w="-451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B72F63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63" w:rsidRDefault="005C1BD3">
            <w:pPr>
              <w:ind w:left="0" w:right="112" w:firstLine="0"/>
              <w:jc w:val="center"/>
            </w:pPr>
            <w:r>
              <w:rPr>
                <w:sz w:val="24"/>
              </w:rPr>
              <w:t xml:space="preserve">Бизнес-технологии и цифровые компетенции </w:t>
            </w:r>
          </w:p>
        </w:tc>
      </w:tr>
      <w:tr w:rsidR="00B72F63">
        <w:trPr>
          <w:trHeight w:val="497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104" w:firstLine="0"/>
              <w:jc w:val="both"/>
            </w:pPr>
            <w:r>
              <w:rPr>
                <w:b w:val="0"/>
                <w:sz w:val="24"/>
              </w:rPr>
              <w:t xml:space="preserve">Сущность экономического содержания цифровых компетенций.  Экономическая природа содержательных положений цифровых платформ. Политэкономический аспект </w:t>
            </w:r>
            <w:proofErr w:type="spellStart"/>
            <w:r>
              <w:rPr>
                <w:b w:val="0"/>
                <w:sz w:val="24"/>
              </w:rPr>
              <w:t>цифровизации</w:t>
            </w:r>
            <w:proofErr w:type="spellEnd"/>
            <w:r>
              <w:rPr>
                <w:b w:val="0"/>
                <w:sz w:val="24"/>
              </w:rPr>
              <w:t xml:space="preserve"> экономики. Понятие цифровых платформ. Инструменты цифровой экономики. Платформенная архитекту</w:t>
            </w:r>
            <w:r>
              <w:rPr>
                <w:b w:val="0"/>
                <w:sz w:val="24"/>
              </w:rPr>
              <w:t xml:space="preserve">ра цифровой экономики. Технолого-экономический аспект определения понятия </w:t>
            </w:r>
            <w:proofErr w:type="spellStart"/>
            <w:r>
              <w:rPr>
                <w:b w:val="0"/>
                <w:sz w:val="24"/>
              </w:rPr>
              <w:t>цифровизации</w:t>
            </w:r>
            <w:proofErr w:type="spellEnd"/>
            <w:r>
              <w:rPr>
                <w:b w:val="0"/>
                <w:sz w:val="24"/>
              </w:rPr>
              <w:t xml:space="preserve"> общества. Цифровые платформы управления в хозяйственной деятельности. Сетевые платформы в экономическом управлении. Цифровые особенности корпоративных управленческих отн</w:t>
            </w:r>
            <w:r>
              <w:rPr>
                <w:b w:val="0"/>
                <w:sz w:val="24"/>
              </w:rPr>
              <w:t xml:space="preserve">ошений. Особенности </w:t>
            </w:r>
            <w:proofErr w:type="spellStart"/>
            <w:r>
              <w:rPr>
                <w:b w:val="0"/>
                <w:sz w:val="24"/>
              </w:rPr>
              <w:t>цифровизации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экономикоуправленческих</w:t>
            </w:r>
            <w:proofErr w:type="spellEnd"/>
            <w:r>
              <w:rPr>
                <w:b w:val="0"/>
                <w:sz w:val="24"/>
              </w:rPr>
              <w:t xml:space="preserve"> функций. Система управления реализацией национальной программы «Цифровая экономика Российской Федерации». Основные положения паспорта национальной программы «Цифровая экономика Российской Федерации».</w:t>
            </w:r>
            <w:r>
              <w:rPr>
                <w:b w:val="0"/>
                <w:sz w:val="24"/>
              </w:rPr>
              <w:t xml:space="preserve"> Новые компьютерные технологии для бизнеса. Новые технологии для малого бизнеса. Инновационные технологии. Технологии и производство. Развитие положений национальной программы «Цифровая экономика Российской Федерации». Искусственный интеллект. Перспективы </w:t>
            </w:r>
            <w:r>
              <w:rPr>
                <w:b w:val="0"/>
                <w:sz w:val="24"/>
              </w:rPr>
              <w:t xml:space="preserve">преобразований цифровых компетенций. </w:t>
            </w:r>
          </w:p>
        </w:tc>
      </w:tr>
      <w:tr w:rsidR="00B72F63">
        <w:trPr>
          <w:trHeight w:val="166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spacing w:line="276" w:lineRule="auto"/>
              <w:ind w:left="0" w:righ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110" w:firstLine="0"/>
              <w:jc w:val="both"/>
            </w:pPr>
            <w:r>
              <w:rPr>
                <w:b w:val="0"/>
                <w:sz w:val="24"/>
              </w:rPr>
              <w:t xml:space="preserve">Используя методы системного подхода, находит и критически анализирует информацию, необходимую для решения поставленной задачи, грамотно, логично, аргументированно формирует собственные суждения и оценки, а также выбирает оптимальный вариант решения задачи </w:t>
            </w:r>
            <w:r>
              <w:rPr>
                <w:b w:val="0"/>
                <w:sz w:val="24"/>
              </w:rPr>
              <w:t xml:space="preserve">и определяет/оценивает практические последствия возможных решений задачи. </w:t>
            </w:r>
          </w:p>
        </w:tc>
      </w:tr>
      <w:tr w:rsidR="00B72F63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B72F63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B72F63">
        <w:trPr>
          <w:trHeight w:val="562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169" w:right="162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 дисциплины  </w:t>
            </w:r>
          </w:p>
        </w:tc>
      </w:tr>
      <w:tr w:rsidR="00B72F63">
        <w:trPr>
          <w:trHeight w:val="304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numPr>
                <w:ilvl w:val="0"/>
                <w:numId w:val="1"/>
              </w:numPr>
              <w:spacing w:after="12" w:line="263" w:lineRule="auto"/>
              <w:ind w:right="102" w:firstLine="43"/>
              <w:jc w:val="both"/>
            </w:pPr>
            <w:r>
              <w:rPr>
                <w:b w:val="0"/>
                <w:sz w:val="24"/>
              </w:rPr>
              <w:t>Реинжиниринг бизнес-</w:t>
            </w:r>
            <w:r>
              <w:rPr>
                <w:b w:val="0"/>
                <w:sz w:val="24"/>
              </w:rPr>
              <w:t xml:space="preserve">процессов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студентов вузов, обучающихся по специальностям экономики и управления / А. О. Блинов [и др.] ; ред. А. О. </w:t>
            </w:r>
            <w:proofErr w:type="spellStart"/>
            <w:r>
              <w:rPr>
                <w:b w:val="0"/>
                <w:sz w:val="24"/>
              </w:rPr>
              <w:t>Блинова</w:t>
            </w:r>
            <w:proofErr w:type="spellEnd"/>
            <w:r>
              <w:rPr>
                <w:b w:val="0"/>
                <w:sz w:val="24"/>
              </w:rPr>
              <w:t xml:space="preserve">. - Реинжиниринг бизнес-процессов,2022-03-26.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2017. - 343 с. - Книга </w:t>
            </w:r>
            <w:r>
              <w:rPr>
                <w:b w:val="0"/>
                <w:sz w:val="24"/>
              </w:rPr>
              <w:t>находится в премиум-версии ЭБС IPR BOOKS. - ISBN 978-5-238-</w:t>
            </w:r>
          </w:p>
          <w:p w:rsidR="00B72F63" w:rsidRDefault="005C1BD3">
            <w:pPr>
              <w:spacing w:after="19"/>
              <w:ind w:left="0" w:right="0" w:firstLine="0"/>
            </w:pPr>
            <w:r>
              <w:rPr>
                <w:b w:val="0"/>
                <w:sz w:val="24"/>
              </w:rPr>
              <w:t xml:space="preserve">01823-2,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:rsidR="00B72F63" w:rsidRDefault="005C1BD3">
            <w:pPr>
              <w:numPr>
                <w:ilvl w:val="0"/>
                <w:numId w:val="1"/>
              </w:numPr>
              <w:spacing w:line="275" w:lineRule="auto"/>
              <w:ind w:right="102" w:firstLine="43"/>
              <w:jc w:val="both"/>
            </w:pPr>
            <w:r>
              <w:rPr>
                <w:b w:val="0"/>
                <w:sz w:val="24"/>
              </w:rPr>
              <w:t xml:space="preserve">Вербицкая, Н. О. Национальная система квалификаций России: квалификационно-ориентированные экспертные цифровые технологии Электронный ресурс / Вербицкая Н. О., </w:t>
            </w:r>
            <w:r>
              <w:rPr>
                <w:b w:val="0"/>
                <w:sz w:val="24"/>
              </w:rPr>
              <w:t xml:space="preserve">Калугина Т. Г., </w:t>
            </w:r>
            <w:proofErr w:type="spellStart"/>
            <w:r>
              <w:rPr>
                <w:b w:val="0"/>
                <w:sz w:val="24"/>
              </w:rPr>
              <w:t>Стаин</w:t>
            </w:r>
            <w:proofErr w:type="spellEnd"/>
            <w:r>
              <w:rPr>
                <w:b w:val="0"/>
                <w:sz w:val="24"/>
              </w:rPr>
              <w:t xml:space="preserve"> Д. </w:t>
            </w:r>
            <w:proofErr w:type="gramStart"/>
            <w:r>
              <w:rPr>
                <w:b w:val="0"/>
                <w:sz w:val="24"/>
              </w:rPr>
              <w:t>А. :</w:t>
            </w:r>
            <w:proofErr w:type="gramEnd"/>
            <w:r>
              <w:rPr>
                <w:b w:val="0"/>
                <w:sz w:val="24"/>
              </w:rPr>
              <w:t xml:space="preserve"> монография. - </w:t>
            </w:r>
            <w:proofErr w:type="gramStart"/>
            <w:r>
              <w:rPr>
                <w:b w:val="0"/>
                <w:sz w:val="24"/>
              </w:rPr>
              <w:t>Екатеринбург :</w:t>
            </w:r>
            <w:proofErr w:type="gramEnd"/>
            <w:r>
              <w:rPr>
                <w:b w:val="0"/>
                <w:sz w:val="24"/>
              </w:rPr>
              <w:t xml:space="preserve"> УГЛТУ, 2019. - 235 с. - ISBN 978-5-94984-</w:t>
            </w:r>
          </w:p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t xml:space="preserve">711-4,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B72F63">
        <w:trPr>
          <w:trHeight w:val="249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ind w:left="0" w:right="102" w:firstLine="0"/>
              <w:jc w:val="both"/>
            </w:pPr>
            <w:r>
              <w:rPr>
                <w:b w:val="0"/>
                <w:sz w:val="24"/>
              </w:rPr>
              <w:t xml:space="preserve">1. </w:t>
            </w:r>
            <w:proofErr w:type="spellStart"/>
            <w:r>
              <w:rPr>
                <w:b w:val="0"/>
                <w:sz w:val="24"/>
              </w:rPr>
              <w:t>Туякова</w:t>
            </w:r>
            <w:proofErr w:type="spellEnd"/>
            <w:r>
              <w:rPr>
                <w:b w:val="0"/>
                <w:sz w:val="24"/>
              </w:rPr>
              <w:t>, З. С. Учет, анализ и аудит бизнес-</w:t>
            </w:r>
            <w:r>
              <w:rPr>
                <w:b w:val="0"/>
                <w:sz w:val="24"/>
              </w:rPr>
              <w:t xml:space="preserve">процессов в цифровой экономике Электронный ресурс / </w:t>
            </w:r>
            <w:proofErr w:type="spellStart"/>
            <w:r>
              <w:rPr>
                <w:b w:val="0"/>
                <w:sz w:val="24"/>
              </w:rPr>
              <w:t>Туякова</w:t>
            </w:r>
            <w:proofErr w:type="spellEnd"/>
            <w:r>
              <w:rPr>
                <w:b w:val="0"/>
                <w:sz w:val="24"/>
              </w:rPr>
              <w:t xml:space="preserve"> З. </w:t>
            </w:r>
            <w:proofErr w:type="gramStart"/>
            <w:r>
              <w:rPr>
                <w:b w:val="0"/>
                <w:sz w:val="24"/>
              </w:rPr>
              <w:t>С. :учебное</w:t>
            </w:r>
            <w:proofErr w:type="gramEnd"/>
            <w:r>
              <w:rPr>
                <w:b w:val="0"/>
                <w:sz w:val="24"/>
              </w:rPr>
              <w:t xml:space="preserve"> пособие для обучающихся по образовательной программе высшего образования по направлению подготовки 38.04.01 экономика. - </w:t>
            </w:r>
            <w:proofErr w:type="gramStart"/>
            <w:r>
              <w:rPr>
                <w:b w:val="0"/>
                <w:sz w:val="24"/>
              </w:rPr>
              <w:t>Оренбург :</w:t>
            </w:r>
            <w:proofErr w:type="gramEnd"/>
            <w:r>
              <w:rPr>
                <w:b w:val="0"/>
                <w:sz w:val="24"/>
              </w:rPr>
              <w:t xml:space="preserve"> ОГУ, 2018. - 334 с. - Рекомендовано ученым совето</w:t>
            </w:r>
            <w:r>
              <w:rPr>
                <w:b w:val="0"/>
                <w:sz w:val="24"/>
              </w:rPr>
              <w:t xml:space="preserve">м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</w:t>
            </w:r>
            <w:r>
              <w:rPr>
                <w:b w:val="0"/>
                <w:sz w:val="24"/>
              </w:rPr>
              <w:lastRenderedPageBreak/>
              <w:t>образовательной программе высшего образования по направлению подготовки 38.04.01 Экономика. - ISBN 978-</w:t>
            </w:r>
            <w:r>
              <w:rPr>
                <w:b w:val="0"/>
                <w:sz w:val="24"/>
              </w:rPr>
              <w:t xml:space="preserve">5-7410-2161-3, экземпляров </w:t>
            </w:r>
          </w:p>
        </w:tc>
      </w:tr>
      <w:tr w:rsidR="00B72F63">
        <w:trPr>
          <w:trHeight w:val="194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B72F63">
            <w:pPr>
              <w:spacing w:after="160"/>
              <w:ind w:left="0" w:right="0" w:firstLine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63" w:rsidRDefault="005C1BD3">
            <w:pPr>
              <w:spacing w:after="24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B72F63" w:rsidRDefault="005C1BD3">
            <w:pPr>
              <w:spacing w:line="267" w:lineRule="auto"/>
              <w:ind w:left="0" w:right="58" w:firstLine="0"/>
              <w:jc w:val="both"/>
            </w:pPr>
            <w:r>
              <w:rPr>
                <w:b w:val="0"/>
                <w:sz w:val="24"/>
              </w:rPr>
              <w:t xml:space="preserve">2. Тельнов, Ю. Ф. Реинжиниринг бизнес-процессов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Ю. Ф. Тельнов. - Реинжиниринг бизнеспроцессов,2019-02-17.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Евразийский открытый институт, Московский государственный университет экономики, статистики и информатики, 2004. - 77 с. - Книга находится в премиум-версии ЭБС IPR </w:t>
            </w:r>
          </w:p>
          <w:p w:rsidR="00B72F63" w:rsidRDefault="005C1BD3">
            <w:pPr>
              <w:ind w:left="0" w:right="0" w:firstLine="0"/>
            </w:pPr>
            <w:r>
              <w:rPr>
                <w:b w:val="0"/>
                <w:sz w:val="24"/>
              </w:rPr>
              <w:t xml:space="preserve">BOOKS. - ISBN 5-7764-0333-2,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B72F63" w:rsidRDefault="005C1BD3">
      <w:pPr>
        <w:ind w:left="260" w:right="0" w:firstLine="0"/>
      </w:pPr>
      <w:r>
        <w:rPr>
          <w:b w:val="0"/>
          <w:sz w:val="24"/>
        </w:rPr>
        <w:t xml:space="preserve"> </w:t>
      </w:r>
    </w:p>
    <w:p w:rsidR="00B72F63" w:rsidRDefault="005C1BD3">
      <w:pPr>
        <w:spacing w:after="21"/>
        <w:ind w:left="260" w:right="0" w:firstLine="0"/>
      </w:pPr>
      <w:r>
        <w:rPr>
          <w:b w:val="0"/>
          <w:sz w:val="24"/>
        </w:rPr>
        <w:t xml:space="preserve"> </w:t>
      </w:r>
    </w:p>
    <w:p w:rsidR="00B72F63" w:rsidRDefault="005C1BD3">
      <w:pPr>
        <w:ind w:left="0" w:right="4018" w:firstLine="0"/>
        <w:jc w:val="right"/>
      </w:pPr>
      <w:r>
        <w:t xml:space="preserve"> </w:t>
      </w:r>
    </w:p>
    <w:sectPr w:rsidR="00B72F63">
      <w:pgSz w:w="11904" w:h="16838"/>
      <w:pgMar w:top="1138" w:right="1440" w:bottom="12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70BA"/>
    <w:multiLevelType w:val="hybridMultilevel"/>
    <w:tmpl w:val="D48203B2"/>
    <w:lvl w:ilvl="0" w:tplc="4762F6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8618C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8998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08BFC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C1F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8877C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AABE2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861F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24A14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63"/>
    <w:rsid w:val="005C1BD3"/>
    <w:rsid w:val="00B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FE17"/>
  <w15:docId w15:val="{75CAD0C0-60FD-4238-AA04-F874533A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937" w:right="100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5C1BD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1BD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2023-09-18T09:06:00Z</dcterms:created>
  <dcterms:modified xsi:type="dcterms:W3CDTF">2023-09-18T09:06:00Z</dcterms:modified>
</cp:coreProperties>
</file>