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5AB437" wp14:editId="70C0781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710C04" w:rsidRPr="00533B02" w:rsidTr="00DF5DB3">
        <w:tc>
          <w:tcPr>
            <w:tcW w:w="5670" w:type="dxa"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044" w:rsidRDefault="00DD5044" w:rsidP="00DD504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710C04" w:rsidRPr="00710C04" w:rsidRDefault="00710C04" w:rsidP="00710C04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04">
        <w:rPr>
          <w:rFonts w:ascii="Times New Roman" w:hAnsi="Times New Roman" w:cs="Times New Roman"/>
          <w:b/>
          <w:sz w:val="24"/>
          <w:szCs w:val="24"/>
        </w:rPr>
        <w:t xml:space="preserve">Б1.В.01 </w:t>
      </w:r>
      <w:bookmarkStart w:id="0" w:name="_GoBack"/>
      <w:r w:rsidRPr="00710C04">
        <w:rPr>
          <w:rFonts w:ascii="Times New Roman" w:hAnsi="Times New Roman" w:cs="Times New Roman"/>
          <w:b/>
          <w:sz w:val="24"/>
          <w:szCs w:val="24"/>
        </w:rPr>
        <w:t>Сетевые технологии и хранилища данных</w:t>
      </w:r>
    </w:p>
    <w:bookmarkEnd w:id="0"/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710C04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710C04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710C04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10C04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10C04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710C0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710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10C04" w:rsidRPr="00710C04" w:rsidRDefault="00710C04" w:rsidP="00710C04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C04" w:rsidRPr="00710C04" w:rsidRDefault="00710C04" w:rsidP="0071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04" w:rsidRDefault="00710C04" w:rsidP="0071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04">
        <w:rPr>
          <w:rFonts w:ascii="Times New Roman" w:hAnsi="Times New Roman" w:cs="Times New Roman"/>
          <w:b/>
          <w:sz w:val="24"/>
          <w:szCs w:val="24"/>
        </w:rPr>
        <w:t>Б1.В.01 Сетевые технологии и хранилища данных</w:t>
      </w:r>
    </w:p>
    <w:p w:rsidR="00710C04" w:rsidRPr="00710C04" w:rsidRDefault="00710C04" w:rsidP="0071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96" w:type="dxa"/>
        <w:tblInd w:w="137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2531"/>
        <w:gridCol w:w="6399"/>
        <w:gridCol w:w="66"/>
      </w:tblGrid>
      <w:tr w:rsidR="00710C04" w:rsidRPr="00710C04" w:rsidTr="00710C04">
        <w:trPr>
          <w:gridAfter w:val="1"/>
          <w:wAfter w:w="66" w:type="dxa"/>
          <w:trHeight w:val="50"/>
        </w:trPr>
        <w:tc>
          <w:tcPr>
            <w:tcW w:w="253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04">
              <w:rPr>
                <w:rFonts w:ascii="Times New Roman" w:hAnsi="Times New Roman" w:cs="Times New Roman"/>
                <w:b/>
                <w:sz w:val="24"/>
                <w:szCs w:val="24"/>
              </w:rPr>
              <w:t>Б1.В.01 Сетевые технологии и хранилища данных</w:t>
            </w:r>
          </w:p>
        </w:tc>
      </w:tr>
      <w:tr w:rsidR="00710C04" w:rsidRPr="00710C04" w:rsidTr="00710C04">
        <w:trPr>
          <w:gridAfter w:val="1"/>
          <w:wAfter w:w="66" w:type="dxa"/>
          <w:trHeight w:val="2272"/>
        </w:trPr>
        <w:tc>
          <w:tcPr>
            <w:tcW w:w="253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Default="00710C04" w:rsidP="0071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 и термины. Преимущества использования сетей. Архитектура сетей. Взаимодействие уровней модели OSI. Прикладной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Уровень представления данных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Сеансовый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Транспортный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Сетевой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Канальный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Физический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Сетезависимые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протоколы. Стеки коммуникационных протоколов. Спецификации стандартов. Протоколы и стеки протоколов. Стек OSI. Архитектура стека протоколов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Microsoft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TCP/IP. Топология вычислительной сети. Методы доступа. </w:t>
            </w:r>
          </w:p>
          <w:p w:rsidR="00710C04" w:rsidRPr="00710C04" w:rsidRDefault="00710C04" w:rsidP="00710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компоненты. Рабочие станции. Сетевые адаптеры. Файловые серверы. Сетевые операционные. системы. Сетевое программное обеспечение. Защита данных. Использование паролей и ограничение доступа. Типовой состав оборудования локальной сети. Кабели связи, линии связи, каналы связи. Типы кабелей и структурированные кабельные системы. Кабельные системы. Типы кабелей. Кабельные системы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. Беспроводные технологии. Структура сетевой операционной системы. Одноранговые NOS и NOS с выделенными серверами. NOS для сетей масштаба предприятия. Сетевые ОС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NetWare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фирмы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сетевых ОС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NT. Семейство ОС UNIX. Обзор Системы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Производительность. Надежность и безопасность. Прозрачность. Поддержка разных видов трафика. Управляемость. Совместимость. Сетевые адаптеры, или NIC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Повторители и концентраторы. Мосты и коммутаторы. Маршрутизатор. Шлюзы</w:t>
            </w:r>
          </w:p>
        </w:tc>
      </w:tr>
      <w:tr w:rsidR="00710C04" w:rsidRPr="00710C04" w:rsidTr="00710C04">
        <w:trPr>
          <w:gridAfter w:val="1"/>
          <w:wAfter w:w="66" w:type="dxa"/>
          <w:trHeight w:val="163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знания об основных технологиях работы распределенных компьютерных систем и сетей, и подходах к обеспечению их эффективности.</w:t>
            </w:r>
          </w:p>
          <w:p w:rsidR="00710C04" w:rsidRPr="00710C04" w:rsidRDefault="00710C04" w:rsidP="00710C04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с сетевым оборудованием как средством управления информацией</w:t>
            </w:r>
          </w:p>
          <w:p w:rsidR="00710C04" w:rsidRPr="00710C04" w:rsidRDefault="00710C04" w:rsidP="00710C04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навыки установки базовых сетевых компонент и настройки сетевых служб с использованием стандартных сетевых протоколов.</w:t>
            </w:r>
          </w:p>
        </w:tc>
      </w:tr>
      <w:tr w:rsidR="00710C04" w:rsidRPr="00710C04" w:rsidTr="00710C04">
        <w:trPr>
          <w:gridAfter w:val="1"/>
          <w:wAfter w:w="66" w:type="dxa"/>
          <w:trHeight w:val="5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710C04" w:rsidRPr="00710C04" w:rsidRDefault="00710C04" w:rsidP="007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C04" w:rsidRPr="00710C04" w:rsidTr="00710C04">
        <w:trPr>
          <w:gridAfter w:val="1"/>
          <w:wAfter w:w="66" w:type="dxa"/>
          <w:trHeight w:val="5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710C04" w:rsidRPr="00710C04" w:rsidRDefault="00710C04" w:rsidP="007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710C04" w:rsidRPr="00710C04" w:rsidTr="00710C04">
        <w:trPr>
          <w:gridAfter w:val="1"/>
          <w:wAfter w:w="66" w:type="dxa"/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710C04" w:rsidRPr="00710C04" w:rsidTr="00710C04">
        <w:trPr>
          <w:gridAfter w:val="1"/>
          <w:wAfter w:w="66" w:type="dxa"/>
          <w:trHeight w:val="253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Артюшенко, В. В. Компьютерные сети и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телекоммуникацииЭлектронный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/ Артюшенко В. В., Никулин А. В. :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НГТУ, 2020. - 72 с. - ISBN 9785-7782-4104-6</w:t>
            </w:r>
          </w:p>
          <w:p w:rsidR="00710C04" w:rsidRPr="00710C04" w:rsidRDefault="00710C04" w:rsidP="00710C0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Кутузов, О. И. Инфокоммуникационные системы и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сетиЭлектронный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/ Кутузов О. И., Татарникова Т. М.,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- Санкт-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2020. - 244 с. - ISBN 978-5-8114-4546-2 3. Скворцова, Т. И. Компьютерные коммуникации и сети Электронный ресурс / Скворцова Т.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И.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 МИРЭА, 2020. - 223 с.</w:t>
            </w:r>
          </w:p>
        </w:tc>
      </w:tr>
      <w:tr w:rsidR="0096705C" w:rsidRPr="00710C04" w:rsidTr="00710C04">
        <w:tblPrEx>
          <w:tblCellMar>
            <w:top w:w="15" w:type="dxa"/>
            <w:left w:w="110" w:type="dxa"/>
            <w:right w:w="106" w:type="dxa"/>
          </w:tblCellMar>
        </w:tblPrEx>
        <w:trPr>
          <w:trHeight w:val="392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5C" w:rsidRPr="00710C04" w:rsidRDefault="00710C04" w:rsidP="007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5C" w:rsidRPr="00710C04" w:rsidRDefault="00710C04" w:rsidP="00710C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Берлин, А.Н. Телекоммуникационные сети и устройства Электронный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А.Н. Берлин. Телекоммуникационные сети и устройства.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Интернет-Университет Информационных Технологий (ИНТУИТ), 2016. - 395 c. -Книга находится в базовой версии ЭБС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978-5-94774896-3</w:t>
            </w:r>
          </w:p>
          <w:p w:rsidR="0096705C" w:rsidRPr="00710C04" w:rsidRDefault="00710C04" w:rsidP="00710C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Клашанов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К. Вычислительные системы и сети, облачные технологии Электронный ресурс /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Клашанов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МИСИ – МГСУ, 2020.- 40 с. - ISBN 978-5-7264-2187-2</w:t>
            </w:r>
          </w:p>
          <w:p w:rsidR="0096705C" w:rsidRPr="00710C04" w:rsidRDefault="00710C04" w:rsidP="00710C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Ракитин, Р. Ю. Компьютерные сети Электронный ресурс / Ракитин Р. Ю., Москаленко Е.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, 2019. - 340 с. - ISBN 978-5-.88210-942-3</w:t>
            </w:r>
          </w:p>
        </w:tc>
      </w:tr>
    </w:tbl>
    <w:p w:rsidR="00BE75EB" w:rsidRPr="00710C04" w:rsidRDefault="00BE75EB" w:rsidP="0071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75EB" w:rsidRPr="00710C04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47A"/>
    <w:multiLevelType w:val="hybridMultilevel"/>
    <w:tmpl w:val="611AAC80"/>
    <w:lvl w:ilvl="0" w:tplc="3D4E512A">
      <w:start w:val="1"/>
      <w:numFmt w:val="bullet"/>
      <w:lvlText w:val=""/>
      <w:lvlJc w:val="left"/>
      <w:pPr>
        <w:ind w:left="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635E6">
      <w:start w:val="1"/>
      <w:numFmt w:val="bullet"/>
      <w:lvlText w:val="o"/>
      <w:lvlJc w:val="left"/>
      <w:pPr>
        <w:ind w:left="1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CD6CA">
      <w:start w:val="1"/>
      <w:numFmt w:val="bullet"/>
      <w:lvlText w:val="▪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0206E">
      <w:start w:val="1"/>
      <w:numFmt w:val="bullet"/>
      <w:lvlText w:val="•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62B6">
      <w:start w:val="1"/>
      <w:numFmt w:val="bullet"/>
      <w:lvlText w:val="o"/>
      <w:lvlJc w:val="left"/>
      <w:pPr>
        <w:ind w:left="3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E3802">
      <w:start w:val="1"/>
      <w:numFmt w:val="bullet"/>
      <w:lvlText w:val="▪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835A8">
      <w:start w:val="1"/>
      <w:numFmt w:val="bullet"/>
      <w:lvlText w:val="•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128">
      <w:start w:val="1"/>
      <w:numFmt w:val="bullet"/>
      <w:lvlText w:val="o"/>
      <w:lvlJc w:val="left"/>
      <w:pPr>
        <w:ind w:left="5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C74BA">
      <w:start w:val="1"/>
      <w:numFmt w:val="bullet"/>
      <w:lvlText w:val="▪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4EBD"/>
    <w:multiLevelType w:val="hybridMultilevel"/>
    <w:tmpl w:val="FDA8DBFC"/>
    <w:lvl w:ilvl="0" w:tplc="D854969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C97A4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88FC6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87ECC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BBE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AD092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6B9C0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4D1EC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5428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AE225D"/>
    <w:multiLevelType w:val="hybridMultilevel"/>
    <w:tmpl w:val="156E60A4"/>
    <w:lvl w:ilvl="0" w:tplc="0FC661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ACB92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01EF0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43876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1140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4D054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0BF40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ACC9C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83952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5C"/>
    <w:rsid w:val="00710C04"/>
    <w:rsid w:val="0096705C"/>
    <w:rsid w:val="00BE75EB"/>
    <w:rsid w:val="00D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F370-8632-4F8A-AED5-249699DD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10C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10C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2024-04-04T12:04:00Z</dcterms:created>
  <dcterms:modified xsi:type="dcterms:W3CDTF">2024-04-04T12:04:00Z</dcterms:modified>
</cp:coreProperties>
</file>